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44A" w:rsidRDefault="00CE6B14">
      <w:pPr>
        <w:spacing w:after="120" w:line="240" w:lineRule="auto"/>
        <w:jc w:val="center"/>
        <w:rPr>
          <w:rFonts w:ascii="Times New Roman" w:hAnsi="Times New Roman" w:cs="Times New Roman"/>
          <w:b/>
          <w:bCs/>
          <w:sz w:val="24"/>
          <w:szCs w:val="24"/>
        </w:rPr>
      </w:pPr>
      <w:r>
        <w:rPr>
          <w:rFonts w:ascii="Times New Roman" w:hAnsi="Times New Roman" w:cs="Times New Roman"/>
          <w:b/>
          <w:bCs/>
          <w:sz w:val="24"/>
          <w:szCs w:val="24"/>
        </w:rPr>
        <w:t>Договор оказания услуг (договор присоединения)</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г. </w:t>
      </w:r>
      <w:r w:rsidRPr="00C40294">
        <w:rPr>
          <w:rFonts w:ascii="Times New Roman" w:hAnsi="Times New Roman" w:cs="Times New Roman"/>
          <w:sz w:val="24"/>
          <w:szCs w:val="24"/>
        </w:rPr>
        <w:t xml:space="preserve">Воронеж                                                                                 </w:t>
      </w:r>
      <w:r w:rsidR="00C40294">
        <w:rPr>
          <w:rFonts w:ascii="Times New Roman" w:hAnsi="Times New Roman" w:cs="Times New Roman"/>
          <w:sz w:val="24"/>
          <w:szCs w:val="24"/>
        </w:rPr>
        <w:t xml:space="preserve">                           </w:t>
      </w:r>
      <w:r w:rsidRPr="00C40294">
        <w:rPr>
          <w:rFonts w:ascii="Times New Roman" w:hAnsi="Times New Roman" w:cs="Times New Roman"/>
          <w:sz w:val="24"/>
          <w:szCs w:val="24"/>
        </w:rPr>
        <w:t>«    »______ 2026 г.</w:t>
      </w:r>
      <w:r>
        <w:rPr>
          <w:rFonts w:ascii="Times New Roman" w:hAnsi="Times New Roman" w:cs="Times New Roman"/>
          <w:sz w:val="24"/>
          <w:szCs w:val="24"/>
        </w:rPr>
        <w:t xml:space="preserve"> </w:t>
      </w:r>
    </w:p>
    <w:p w:rsidR="00A5044A" w:rsidRDefault="00CE6B14">
      <w:pPr>
        <w:spacing w:after="120" w:line="240" w:lineRule="auto"/>
        <w:rPr>
          <w:rFonts w:ascii="Times New Roman" w:hAnsi="Times New Roman" w:cs="Times New Roman"/>
          <w:color w:val="000000" w:themeColor="text1"/>
          <w:sz w:val="24"/>
          <w:szCs w:val="24"/>
        </w:rPr>
      </w:pPr>
      <w:r>
        <w:rPr>
          <w:rFonts w:ascii="Times New Roman" w:hAnsi="Times New Roman" w:cs="Times New Roman"/>
          <w:sz w:val="24"/>
          <w:szCs w:val="24"/>
        </w:rPr>
        <w:t>Настоящий договор об оказании услуг (далее по тексту – Договор) заключается в порядке ст. 428 Гражданского Кодекса Российской Федерации между</w:t>
      </w:r>
      <w:r>
        <w:t xml:space="preserve"> </w:t>
      </w:r>
      <w:r>
        <w:rPr>
          <w:rFonts w:ascii="Times New Roman" w:hAnsi="Times New Roman" w:cs="Times New Roman"/>
          <w:sz w:val="24"/>
          <w:szCs w:val="24"/>
        </w:rPr>
        <w:t>Индивидуальным предпринимателем   Пластуновым Геннадием Витальевичем,</w:t>
      </w:r>
      <w:r>
        <w:rPr>
          <w:rFonts w:ascii="Times New Roman" w:hAnsi="Times New Roman" w:cs="Times New Roman"/>
          <w:color w:val="000000" w:themeColor="text1"/>
          <w:sz w:val="24"/>
          <w:szCs w:val="24"/>
          <w:shd w:val="clear" w:color="auto" w:fill="FFFFFF"/>
        </w:rPr>
        <w:t xml:space="preserve"> ОГРНИП: 323366800014213</w:t>
      </w:r>
      <w:r>
        <w:rPr>
          <w:rFonts w:ascii="Times New Roman" w:hAnsi="Times New Roman" w:cs="Times New Roman"/>
          <w:sz w:val="24"/>
          <w:szCs w:val="24"/>
        </w:rPr>
        <w:t xml:space="preserve"> и присоединившимся к настоящему Договору физическим лицом, именуемым в дальнейшем «Заказчик».</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Договор определяет порядок и условия оказания услуг информирования, справочных услуг и услуг организационного содействия в осуществлении свободного волеизъявления Заказчика получить медицинскую помощь в российских и зарубежных медицинских учреждениях. </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Присоединение к Договору (акцепт условий оказания услуг) производится путем совершения конклюдентных действий, а именно: внесения предварительной оплаты услуг Исполнителя.</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Совершая действия по акцепту Оферты, Заказчик гарантирует, что он имеет законные права вступать в договорные отношения с Исполнителем.</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Если не позднее, чем за 30 (тридцать) календарных дней до истечения срока действия Договора ни одна из Сторон не потребует его прекращения в письменной форме посредством направления уведомления другой Стороне, настоящий Договор считается продленным на каждый последующий календарный год. Перечисление денежных средств означает безусловное согласие Заказчика на присоединение к Договору.</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Исполнитель вправе в любое время в одностороннем порядке изменять условия настоящей Оферты. Новая редакция Оферты вступает в силу с момента ее размещения на Сайте, если иное не предусмотрено новой редакцией Оферты. Риск не ознакомления с новой редакцией Оферты несет Заказчик.</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w:t>
      </w:r>
    </w:p>
    <w:p w:rsidR="00A5044A" w:rsidRDefault="00CE6B14">
      <w:pPr>
        <w:numPr>
          <w:ilvl w:val="0"/>
          <w:numId w:val="1"/>
        </w:numPr>
        <w:spacing w:after="120" w:line="240" w:lineRule="auto"/>
        <w:ind w:left="0"/>
        <w:rPr>
          <w:rFonts w:ascii="Times New Roman" w:hAnsi="Times New Roman" w:cs="Times New Roman"/>
          <w:sz w:val="24"/>
          <w:szCs w:val="24"/>
        </w:rPr>
      </w:pPr>
      <w:r>
        <w:rPr>
          <w:rFonts w:ascii="Times New Roman" w:hAnsi="Times New Roman" w:cs="Times New Roman"/>
          <w:sz w:val="24"/>
          <w:szCs w:val="24"/>
        </w:rPr>
        <w:t>Предмет договора.</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1.1. По настоящему Договору Исполнитель обязуется оказать Заказчику услуги информирования, справочные услуги и услуги организационного содействия в осуществлении свободного волеизъявления Заказчика получить медицинскую помощь в российских и зарубежных медицинских учреждениях, образующих в своем комплексе потребительский продукт, которые включают в себя: услуги предварительной первичной консультации медицинского координатора в РФ, а также услуги по медицинскому сопровождению (подбор медицинской организации и специалистов, запись на прием к врачам и содействие в организации необходимых консультаций, организация и координация процессов диагностики, лечения и реабилитации и т.д.);  </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1.2. Заказчиками могут быть любые заинтересованные дееспособные лица, являющиеся гражданами Российской Федерации, достигшие возраста, допустимого в соответствии с законодательством Российской Федерации для акцепта настоящей публичной оферты.</w:t>
      </w:r>
    </w:p>
    <w:p w:rsidR="00A5044A" w:rsidRDefault="00CE6B14">
      <w:pPr>
        <w:numPr>
          <w:ilvl w:val="0"/>
          <w:numId w:val="2"/>
        </w:numPr>
        <w:spacing w:after="120" w:line="240" w:lineRule="auto"/>
        <w:ind w:left="0"/>
        <w:rPr>
          <w:rFonts w:ascii="Times New Roman" w:hAnsi="Times New Roman" w:cs="Times New Roman"/>
          <w:sz w:val="24"/>
          <w:szCs w:val="24"/>
        </w:rPr>
      </w:pPr>
      <w:r>
        <w:rPr>
          <w:rFonts w:ascii="Times New Roman" w:hAnsi="Times New Roman" w:cs="Times New Roman"/>
          <w:sz w:val="24"/>
          <w:szCs w:val="24"/>
        </w:rPr>
        <w:t>Права и обязанности сторон.</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2.1. Исполнитель обязуется:</w:t>
      </w:r>
    </w:p>
    <w:p w:rsidR="00A5044A" w:rsidRDefault="00CE6B14">
      <w:pPr>
        <w:spacing w:after="120" w:line="240" w:lineRule="auto"/>
        <w:jc w:val="both"/>
        <w:rPr>
          <w:rFonts w:ascii="Times New Roman" w:hAnsi="Times New Roman" w:cs="Times New Roman"/>
          <w:strike/>
          <w:sz w:val="24"/>
          <w:szCs w:val="24"/>
        </w:rPr>
      </w:pPr>
      <w:r>
        <w:rPr>
          <w:rFonts w:ascii="Times New Roman" w:hAnsi="Times New Roman" w:cs="Times New Roman"/>
          <w:sz w:val="24"/>
          <w:szCs w:val="24"/>
        </w:rPr>
        <w:t>— оказать Заказчику услуги, предусмотренные п. 1.1. настоящего Договора в соответствии с действующим прейскурантом Исполнителя и выбором Заказчика.</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принимать от Заказчика плату за услуги.</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оказывать услуги лично, либо с привлечением третьих лиц, оставаясь ответственным за их действия перед Заказчиком, с использованием необходимых материально-технических средств и квалифицированного персонала.</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2.2. Заказчик обязуется:</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направить для осуществления целей настоящего Договора, при содействии Исполнителя, в выбранные Заказчиком медицинские учреждения полную и достоверную информацию о </w:t>
      </w:r>
      <w:r>
        <w:rPr>
          <w:rFonts w:ascii="Times New Roman" w:hAnsi="Times New Roman" w:cs="Times New Roman"/>
          <w:sz w:val="24"/>
          <w:szCs w:val="24"/>
        </w:rPr>
        <w:lastRenderedPageBreak/>
        <w:t>состоянии своего здоровья, необходимую для правильного выбора медицинского учреждения, методов диагностики и лечения, в том числе, сведения, подтвержденные медицинскими документами, об основном заболевании, по поводу которого возникла необходимость проведения диагностики и лечения, сопутствующих заболеваниях, синдромах состояния, возрастных изменениях, реакциях организма, способных повлиять на результат лечения. При этом объем и характер данной информации определяются Заказчиком исключительно самостоятельно и исходя лишь из своего волеизъявления получить информацию о возможности получения услуг в медицинских учреждениях;</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предоставить контактные данные родственника или иного доверенного лица Заказчика при решении срочных вопросов;</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своевременно и в полном объеме оплачивать услуги Исполнителя в порядке, установленном настоящим Договором.</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w:t>
      </w:r>
    </w:p>
    <w:p w:rsidR="00A5044A" w:rsidRDefault="00CE6B14">
      <w:pPr>
        <w:numPr>
          <w:ilvl w:val="0"/>
          <w:numId w:val="3"/>
        </w:numPr>
        <w:spacing w:after="120" w:line="240" w:lineRule="auto"/>
        <w:ind w:left="0"/>
        <w:rPr>
          <w:rFonts w:ascii="Times New Roman" w:hAnsi="Times New Roman" w:cs="Times New Roman"/>
          <w:sz w:val="24"/>
          <w:szCs w:val="24"/>
        </w:rPr>
      </w:pPr>
      <w:r>
        <w:rPr>
          <w:rFonts w:ascii="Times New Roman" w:hAnsi="Times New Roman" w:cs="Times New Roman"/>
          <w:sz w:val="24"/>
          <w:szCs w:val="24"/>
        </w:rPr>
        <w:t>Цена договора и порядок расчетов.</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3.1. Исполнитель оказывает Заказчику первичную консультацию, указанную в п.1.1. настоящего Договора бесплатно.</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3.2. Остальные услуги оплачиваются дополнительно, в соответствии с утвержденным прейскурантом Исполнителя, НДС не облагается.</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3.3. Со стоимостью дополнительных услуг, указанных в п.1.2. можно ознакомиться на сайте Исполнителя </w:t>
      </w:r>
      <w:hyperlink w:history="1">
        <w:r>
          <w:rPr>
            <w:rStyle w:val="afc"/>
            <w:rFonts w:ascii="Times New Roman" w:hAnsi="Times New Roman" w:cs="Times New Roman"/>
            <w:sz w:val="24"/>
            <w:szCs w:val="24"/>
          </w:rPr>
          <w:t>https://</w:t>
        </w:r>
        <w:r>
          <w:rPr>
            <w:rStyle w:val="afc"/>
          </w:rPr>
          <w:t xml:space="preserve"> </w:t>
        </w:r>
        <w:r>
          <w:rPr>
            <w:rStyle w:val="afc"/>
            <w:rFonts w:ascii="Times New Roman" w:hAnsi="Times New Roman" w:cs="Times New Roman"/>
            <w:sz w:val="24"/>
            <w:szCs w:val="24"/>
          </w:rPr>
          <w:t>msp36.ru//</w:t>
        </w:r>
      </w:hyperlink>
      <w:r>
        <w:rPr>
          <w:rStyle w:val="afc"/>
          <w:rFonts w:ascii="Times New Roman" w:hAnsi="Times New Roman" w:cs="Times New Roman"/>
          <w:sz w:val="24"/>
          <w:szCs w:val="24"/>
        </w:rPr>
        <w:t>.</w:t>
      </w:r>
      <w:r>
        <w:rPr>
          <w:rFonts w:ascii="Times New Roman" w:hAnsi="Times New Roman" w:cs="Times New Roman"/>
          <w:sz w:val="24"/>
          <w:szCs w:val="24"/>
        </w:rPr>
        <w:t xml:space="preserve"> </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3.4. Оплата услуг осуществляется посредством электронного платежного сервиса ЮMoney.</w:t>
      </w:r>
    </w:p>
    <w:p w:rsidR="00A5044A" w:rsidRDefault="00CE6B14">
      <w:pPr>
        <w:numPr>
          <w:ilvl w:val="0"/>
          <w:numId w:val="3"/>
        </w:numPr>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Порядок сдачи-приемки услуг.</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4.1. Услуги по настоящему Договору признаются оказанными Исполнителем надлежащим образом, в полном объеме и принятыми Заказчиком без замечаний в следующие моменты:</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4.1.1 В части предварительной первичной консультации медицинского координатора: в момент завершения проведения устной консультации (при личном приеме или дистанционно) либо в момент направления Заказчику письменных результатов такой консультации.</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4.1.2. В части услуг по медицинскому сопровождению: поэтапно, в момент совершения Исполнителем каждого отдельного согласованного организационного действия (включая, но не ограничиваясь: момент передачи Заказчику информации о подобранной медицинской организации/специалисте, момент подтверждения записи на прием, момент согласования графика диагностики, лечения или реабилитации).</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4.2. Составление и подписание двустороннего Акта об оказании услуг по настоящему Договору не является обязательным. Факт надлежащего оказания услуг подтверждается кассовым чеком, а также фиксацией отправки информации Исполнителем или подтверждением совершения организационных действий по каналам связи (e-mail), указанным в п. 10 Договора.</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4.3. По запросу Заказчика ему может быть оформлен и выдан бумажный экземпляр Акта об оказании услуг. Выдача Акта осуществляется исключительно при личном визите Заказчика (или его уполномоченного представителя) в офис Исполнителя по адресу: 394087, г. Воронеж, ул. Ломоносова, д. 114/10, кв.92.</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Обязанность по почтовой, курьерской или иной дистанционной отправке Актов на Исполнителя не возлагается.</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4.4. Если в течение 3 (трех) календарных дней с момента завершения консультации или совершения соответствующего организационного действия по сопровождению от Заказчика не поступило письменных мотивированных возражений, услуги считаются принятыми Заказчиком в полном объеме, надлежащего качества и без замечаний.</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w:t>
      </w:r>
    </w:p>
    <w:p w:rsidR="00A5044A" w:rsidRDefault="00CE6B14">
      <w:pPr>
        <w:pStyle w:val="af7"/>
        <w:numPr>
          <w:ilvl w:val="0"/>
          <w:numId w:val="3"/>
        </w:numPr>
        <w:spacing w:after="120" w:line="240" w:lineRule="auto"/>
        <w:rPr>
          <w:rFonts w:ascii="Times New Roman" w:hAnsi="Times New Roman" w:cs="Times New Roman"/>
          <w:sz w:val="24"/>
          <w:szCs w:val="24"/>
        </w:rPr>
      </w:pPr>
      <w:r>
        <w:rPr>
          <w:rFonts w:ascii="Times New Roman" w:hAnsi="Times New Roman" w:cs="Times New Roman"/>
          <w:sz w:val="24"/>
          <w:szCs w:val="24"/>
        </w:rPr>
        <w:lastRenderedPageBreak/>
        <w:t>Ответственность сторон.</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5.1.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5.2. В случае невозможности исполнения Исполнителем своих обязательств по настоящему Договору, возникшей по вине Заказчика, или досрочного прекращения настоящего Договора по инициативе Заказчика, оплата Услуг, произведенная в соответствии с разделом 3 настоящего договора – Заказчику не возвращается.</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5.3. В том случае, когда оказание Услуг невозможно не по вине Заказчика, Исполнитель обязуется вернуть в полном объеме денежные средства, оплаченные Заказчиком.</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5.4. Исполнитель не несет ответственности за результаты проведенного лечения и диагностики, а также возникновения осложнений в ходе пребывания и лечения за рубежом и в медицинских учреждениях РФ.</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5.5. Исполнитель не несет ответственности в случае возникновения летального исхода в ходе пребывания и лечения за рубежом и в медицинских учреждениях РФ.</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5.6. Исполнитель не несет ответственности за внезапное возникновение неисправности оборудования или других независящих от Исполнителя факторов, препятствующих получению медицинских услуг в принимающем медицинском учреждении.</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5.7. Исполнитель не несет юридической и материальной ответственности в случае официального отказа в выдаче въездной визы; задержки документов консульством другой страны; изменения визовых правил в период оформления визы для получения медицинских услуг за рубежом.</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w:t>
      </w:r>
    </w:p>
    <w:p w:rsidR="00A5044A" w:rsidRDefault="00CE6B14">
      <w:pPr>
        <w:pStyle w:val="af7"/>
        <w:numPr>
          <w:ilvl w:val="0"/>
          <w:numId w:val="3"/>
        </w:numPr>
        <w:spacing w:after="120" w:line="240" w:lineRule="auto"/>
        <w:rPr>
          <w:rFonts w:ascii="Times New Roman" w:hAnsi="Times New Roman" w:cs="Times New Roman"/>
          <w:sz w:val="24"/>
          <w:szCs w:val="24"/>
        </w:rPr>
      </w:pPr>
      <w:r>
        <w:rPr>
          <w:rFonts w:ascii="Times New Roman" w:hAnsi="Times New Roman" w:cs="Times New Roman"/>
          <w:sz w:val="24"/>
          <w:szCs w:val="24"/>
        </w:rPr>
        <w:t>Порядок разрешения споров.</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6.1. Все споры, претензии и разногласия, которые могут возникнуть между Сторонами, будут разрешаться путем переговоров. Стороны применяют обязательный претензионный порядок досудебного урегулирования споров. Срок рассмотрения претензии устанавливается равным 10 (десяти) рабочим дням со дня получения Исполнителем претензии Заказчика. При не достижении согласия спор передается на рассмотрение в суд по месту нахождения Исполнителя.</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w:t>
      </w:r>
    </w:p>
    <w:p w:rsidR="00A5044A" w:rsidRDefault="00CE6B14">
      <w:pPr>
        <w:pStyle w:val="af7"/>
        <w:numPr>
          <w:ilvl w:val="0"/>
          <w:numId w:val="3"/>
        </w:numPr>
        <w:spacing w:after="120" w:line="240" w:lineRule="auto"/>
        <w:rPr>
          <w:rFonts w:ascii="Times New Roman" w:hAnsi="Times New Roman" w:cs="Times New Roman"/>
          <w:sz w:val="24"/>
          <w:szCs w:val="24"/>
        </w:rPr>
      </w:pPr>
      <w:r>
        <w:rPr>
          <w:rFonts w:ascii="Times New Roman" w:hAnsi="Times New Roman" w:cs="Times New Roman"/>
          <w:sz w:val="24"/>
          <w:szCs w:val="24"/>
        </w:rPr>
        <w:t>Форс-мажорные обстоятельства.</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7.1. Ни одна из Сторон не будет нести ответственность за полное или частичное неисполнение любой из своих обязанностей, если неисполнение будет являться последствием таких обстоятельств, как наводнение, пожар, землетрясение и другие стихийные бедствия, решения высших законодательных и исполнительных органов, забастовки и иные социальные волнения, война или военные действия и иные обстоятельства непреодолимой силы, возникшие после заключения Сторонами настоящего Договора и препятствующие его исполнению.</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7.2. Если любое из таких обстоятельств непосредственно повлияло на выполнение обязательств в срок, указанный в Договоре, то этот срок откладывается на время действия соответствующего обстоятельства. Сторона, для которой создалась невозможность исполнения обязательства, ссылающаяся на форс-мажорные обстоятельства, обязана незамедлительно, но не позднее трех дней с момента возникновения таковых, в письменной форме уведомить другую Сторону о наступлении и предполагаемом сроке действия вышеуказанных обстоятельств или предполагаемой дате их прекращения. Не уведомление или несвоевременное уведомление лишает Сторону права ссылаться на любые вышеуказанные обстоятельства как на основание, освобождающее от ответственности за неисполнение обязательств.</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w:t>
      </w:r>
    </w:p>
    <w:p w:rsidR="00A5044A" w:rsidRDefault="00A5044A">
      <w:pPr>
        <w:spacing w:after="120" w:line="240" w:lineRule="auto"/>
        <w:rPr>
          <w:rFonts w:ascii="Times New Roman" w:hAnsi="Times New Roman" w:cs="Times New Roman"/>
          <w:sz w:val="24"/>
          <w:szCs w:val="24"/>
        </w:rPr>
      </w:pPr>
    </w:p>
    <w:p w:rsidR="00A5044A" w:rsidRDefault="00A5044A">
      <w:pPr>
        <w:spacing w:after="120" w:line="240" w:lineRule="auto"/>
        <w:rPr>
          <w:rFonts w:ascii="Times New Roman" w:hAnsi="Times New Roman" w:cs="Times New Roman"/>
          <w:sz w:val="24"/>
          <w:szCs w:val="24"/>
        </w:rPr>
      </w:pPr>
    </w:p>
    <w:p w:rsidR="00A5044A" w:rsidRDefault="00CE6B14">
      <w:pPr>
        <w:pStyle w:val="af7"/>
        <w:numPr>
          <w:ilvl w:val="0"/>
          <w:numId w:val="3"/>
        </w:numPr>
        <w:spacing w:after="120" w:line="240" w:lineRule="auto"/>
        <w:rPr>
          <w:rFonts w:ascii="Times New Roman" w:hAnsi="Times New Roman" w:cs="Times New Roman"/>
          <w:sz w:val="24"/>
          <w:szCs w:val="24"/>
        </w:rPr>
      </w:pPr>
      <w:r>
        <w:rPr>
          <w:rFonts w:ascii="Times New Roman" w:hAnsi="Times New Roman" w:cs="Times New Roman"/>
          <w:sz w:val="24"/>
          <w:szCs w:val="24"/>
        </w:rPr>
        <w:lastRenderedPageBreak/>
        <w:t>Режим конфиденциальности и обработки персональных данных.</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8.1. Стороны подписанием настоящего Договора пришли к соглашению о том, что все персональные данные, передаваемые Заказчиком (субъектом персональных данных) Исполнителю будут использоваться (обрабатываться) последним исключительно для заключения настоящего Договора и в целях исполнения настоящего Договора.</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8.2. Указанные данные не будут распространяться, а также предоставляться третьим лицам без согласия Заказчика (субъекта персональных данных).</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8.3. Фактом подписания (оплатой) настоящего Договора Заказчик (субъект персональных данных) с целью исполнения настоящего Договора дает согласие на их трансграничную передачу в медицинские организации, в том числе медицинские данные Заказчика (субъекта персональных данных). При этом такая передача данных третьим лицам производится исключительно самим Заказчиком (субъектом персональных данных) при технической и лингвистической поддержке Исполнителя.</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8.4. Хранение и обработка вышеуказанных данных Заказчика Исполнителем не осуществляется.</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8.5. Заказчик уведомлен о том, что в странах нахождения медицинских учреждений, могут действовать иные, по сравнению с законодательством РФ, принципы правового регулирования вопросов защиты персональных данных, данные страны могут не являться сторонами Конвенции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и действует при трансграничной передачи личных персональных данных исключительно в своих интересах и на свой страх и риск.</w:t>
      </w:r>
    </w:p>
    <w:p w:rsidR="00A5044A" w:rsidRDefault="005F5F1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8.6</w:t>
      </w:r>
      <w:r w:rsidR="00CE6B14">
        <w:rPr>
          <w:rFonts w:ascii="Times New Roman" w:hAnsi="Times New Roman" w:cs="Times New Roman"/>
          <w:sz w:val="24"/>
          <w:szCs w:val="24"/>
        </w:rPr>
        <w:t>. Стороны обязались сохранять конфиденциальность в отношении полученной друг от друга личной, коммерческой и иной информации в строгом соответствии с законодательством Российской Федерации и общепринятыми нормами международного права в области защиты прав и свобод человека.</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w:t>
      </w:r>
    </w:p>
    <w:p w:rsidR="00A5044A" w:rsidRDefault="00CE6B14">
      <w:pPr>
        <w:pStyle w:val="af7"/>
        <w:numPr>
          <w:ilvl w:val="0"/>
          <w:numId w:val="3"/>
        </w:numPr>
        <w:spacing w:after="120" w:line="240" w:lineRule="auto"/>
        <w:rPr>
          <w:rFonts w:ascii="Times New Roman" w:hAnsi="Times New Roman" w:cs="Times New Roman"/>
          <w:sz w:val="24"/>
          <w:szCs w:val="24"/>
        </w:rPr>
      </w:pPr>
      <w:r>
        <w:rPr>
          <w:rFonts w:ascii="Times New Roman" w:hAnsi="Times New Roman" w:cs="Times New Roman"/>
          <w:sz w:val="24"/>
          <w:szCs w:val="24"/>
        </w:rPr>
        <w:t>Срок действия договора. Прочие условия.</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9.1. Настоящий договор вступает в силу с момента присоединения (оплаты) Заказчика к Договору и действует до момента исполнения Сторонами своих обязательств.</w:t>
      </w:r>
    </w:p>
    <w:p w:rsidR="00A5044A" w:rsidRDefault="00CE6B14">
      <w:pPr>
        <w:spacing w:after="120" w:line="240" w:lineRule="auto"/>
        <w:jc w:val="both"/>
        <w:rPr>
          <w:rFonts w:ascii="Times New Roman" w:hAnsi="Times New Roman" w:cs="Times New Roman"/>
          <w:sz w:val="24"/>
          <w:szCs w:val="24"/>
          <w14:ligatures w14:val="none"/>
        </w:rPr>
      </w:pPr>
      <w:r>
        <w:rPr>
          <w:rFonts w:ascii="Times New Roman" w:hAnsi="Times New Roman" w:cs="Times New Roman"/>
          <w:sz w:val="24"/>
          <w:szCs w:val="24"/>
        </w:rPr>
        <w:t xml:space="preserve">9.2 </w:t>
      </w:r>
      <w:r>
        <w:rPr>
          <w:rFonts w:ascii="Times New Roman" w:hAnsi="Times New Roman" w:cs="Times New Roman"/>
          <w:sz w:val="24"/>
          <w:szCs w:val="24"/>
          <w14:ligatures w14:val="none"/>
        </w:rPr>
        <w:t xml:space="preserve">Любая из Сторон вправе отказаться от исполнения Договора посредством направления другой Стороне уведомления об отказе от исполнения Договора не менее чем за 10 (десять) дней до даты расторжения Договора. </w:t>
      </w:r>
    </w:p>
    <w:p w:rsidR="00A5044A" w:rsidRDefault="00CE6B14">
      <w:pPr>
        <w:spacing w:after="0" w:line="276" w:lineRule="auto"/>
        <w:contextualSpacing/>
        <w:jc w:val="both"/>
        <w:rPr>
          <w:rFonts w:ascii="Times New Roman" w:hAnsi="Times New Roman" w:cs="Times New Roman"/>
          <w:sz w:val="24"/>
          <w:szCs w:val="24"/>
          <w14:ligatures w14:val="none"/>
        </w:rPr>
      </w:pPr>
      <w:r>
        <w:rPr>
          <w:rFonts w:ascii="Times New Roman" w:hAnsi="Times New Roman" w:cs="Times New Roman"/>
          <w:sz w:val="24"/>
          <w:szCs w:val="24"/>
          <w14:ligatures w14:val="none"/>
        </w:rPr>
        <w:t>При этом:</w:t>
      </w:r>
    </w:p>
    <w:p w:rsidR="00A5044A" w:rsidRDefault="00CE6B14">
      <w:pPr>
        <w:spacing w:after="0" w:line="276" w:lineRule="auto"/>
        <w:contextualSpacing/>
        <w:jc w:val="both"/>
        <w:rPr>
          <w:rFonts w:ascii="Times New Roman" w:hAnsi="Times New Roman" w:cs="Times New Roman"/>
          <w:sz w:val="24"/>
          <w:szCs w:val="24"/>
          <w14:ligatures w14:val="none"/>
        </w:rPr>
      </w:pPr>
      <w:r>
        <w:rPr>
          <w:rFonts w:ascii="Times New Roman" w:hAnsi="Times New Roman" w:cs="Times New Roman"/>
          <w:sz w:val="24"/>
          <w:szCs w:val="24"/>
          <w14:ligatures w14:val="none"/>
        </w:rPr>
        <w:t>- договор считается расторгнутым с даты, указанной в своевременно направленном уведомлении об отказе от исполнения Договора;</w:t>
      </w:r>
    </w:p>
    <w:p w:rsidR="00A5044A" w:rsidRDefault="00CE6B14">
      <w:pPr>
        <w:spacing w:after="0" w:line="276" w:lineRule="auto"/>
        <w:contextualSpacing/>
        <w:jc w:val="both"/>
        <w:rPr>
          <w:rFonts w:ascii="Times New Roman" w:hAnsi="Times New Roman" w:cs="Times New Roman"/>
          <w:sz w:val="24"/>
          <w:szCs w:val="24"/>
          <w14:ligatures w14:val="none"/>
        </w:rPr>
      </w:pPr>
      <w:r>
        <w:rPr>
          <w:rFonts w:ascii="Times New Roman" w:hAnsi="Times New Roman" w:cs="Times New Roman"/>
          <w:sz w:val="24"/>
          <w:szCs w:val="24"/>
          <w14:ligatures w14:val="none"/>
        </w:rPr>
        <w:t>- возникшие до даты расторжения Договора обязательства Сторон подлежат полному исполнению в соответствии с Договором.</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9.3 Фактом подписания (оплаты) настоящего Договора Заказчик признает уведомление о том, что предоставляемая ему услуга не носит медицинского или туристского (туристического) характера, а упоминаемые в тексте Договора и рекламных материалах Исполнителя выражения «медицинский», «туризм» в различных вариациях не тождественны точному определению соответствующей деятельности в законодательства РФ, не подпадают под правовое регулирование данной деятельности и используются исключительно в описательном смысле.</w:t>
      </w:r>
    </w:p>
    <w:p w:rsidR="00A5044A" w:rsidRDefault="00CE6B14">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9.4. Во всем, что не предусмотрено настоящим договором, Стороны руководствуются действующим законодательством РФ.</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 </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10. Адрес и банковские реквизиты Исполнителя:</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ИП Пластунов Геннадий Витальевич</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lastRenderedPageBreak/>
        <w:t>394087, г. Воронеж, ул. Ломоносова, д.114/10, кв.92.</w:t>
      </w:r>
    </w:p>
    <w:p w:rsidR="00A5044A" w:rsidRDefault="00CE6B14">
      <w:pPr>
        <w:spacing w:after="12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ОГРНИП: 323366800014213</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ИНН 366600311407</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р/с 40802810413000101365</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к/с 30101810600000000681</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БИК 042007681</w:t>
      </w: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ПАО СБЕРБАНК </w:t>
      </w:r>
    </w:p>
    <w:p w:rsidR="005F5F17"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телефон +</w:t>
      </w:r>
      <w:r w:rsidR="005F5F17" w:rsidRPr="005F5F17">
        <w:rPr>
          <w:rFonts w:ascii="Times New Roman" w:hAnsi="Times New Roman" w:cs="Times New Roman"/>
          <w:sz w:val="24"/>
          <w:szCs w:val="24"/>
        </w:rPr>
        <w:t>7 (952) 550-76-37</w:t>
      </w:r>
    </w:p>
    <w:p w:rsidR="00A5044A" w:rsidRDefault="00CE6B14">
      <w:pPr>
        <w:spacing w:after="120" w:line="240" w:lineRule="auto"/>
        <w:rPr>
          <w:rStyle w:val="afc"/>
          <w:rFonts w:ascii="Times New Roman" w:hAnsi="Times New Roman" w:cs="Times New Roman"/>
          <w:sz w:val="24"/>
          <w:szCs w:val="24"/>
        </w:rPr>
      </w:pPr>
      <w:r>
        <w:rPr>
          <w:rFonts w:ascii="Times New Roman" w:hAnsi="Times New Roman" w:cs="Times New Roman"/>
          <w:sz w:val="24"/>
          <w:szCs w:val="24"/>
        </w:rPr>
        <w:t>электронная почта</w:t>
      </w:r>
      <w:r w:rsidR="005F5F17">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w:t>
      </w:r>
      <w:hyperlink r:id="rId8" w:tooltip="mailto:plastunov1969@list.ru" w:history="1">
        <w:r>
          <w:rPr>
            <w:rStyle w:val="afc"/>
            <w:rFonts w:ascii="Times New Roman" w:hAnsi="Times New Roman" w:cs="Times New Roman"/>
            <w:sz w:val="24"/>
            <w:szCs w:val="24"/>
          </w:rPr>
          <w:t>plastunov1969@list.ru</w:t>
        </w:r>
      </w:hyperlink>
    </w:p>
    <w:p w:rsidR="00A5044A" w:rsidRDefault="00A5044A">
      <w:pPr>
        <w:spacing w:after="120" w:line="240" w:lineRule="auto"/>
        <w:rPr>
          <w:rFonts w:ascii="Times New Roman" w:hAnsi="Times New Roman" w:cs="Times New Roman"/>
          <w:sz w:val="24"/>
          <w:szCs w:val="24"/>
        </w:rPr>
      </w:pPr>
    </w:p>
    <w:p w:rsidR="00A5044A" w:rsidRDefault="00CE6B14">
      <w:pPr>
        <w:spacing w:after="120" w:line="240" w:lineRule="auto"/>
        <w:rPr>
          <w:rFonts w:ascii="Times New Roman" w:hAnsi="Times New Roman" w:cs="Times New Roman"/>
          <w:sz w:val="24"/>
          <w:szCs w:val="24"/>
        </w:rPr>
      </w:pPr>
      <w:r>
        <w:rPr>
          <w:rFonts w:ascii="Times New Roman" w:hAnsi="Times New Roman" w:cs="Times New Roman"/>
          <w:sz w:val="24"/>
          <w:szCs w:val="24"/>
        </w:rPr>
        <w:t>______________ /Г.В. Пластунов/</w:t>
      </w:r>
    </w:p>
    <w:p w:rsidR="00A5044A" w:rsidRDefault="00A5044A">
      <w:pPr>
        <w:spacing w:after="120" w:line="240" w:lineRule="auto"/>
        <w:rPr>
          <w:rFonts w:ascii="Times New Roman" w:hAnsi="Times New Roman" w:cs="Times New Roman"/>
          <w:sz w:val="24"/>
          <w:szCs w:val="24"/>
        </w:rPr>
      </w:pPr>
    </w:p>
    <w:sectPr w:rsidR="00A5044A">
      <w:pgSz w:w="11906" w:h="16838"/>
      <w:pgMar w:top="567" w:right="851"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D1A" w:rsidRDefault="00334D1A">
      <w:pPr>
        <w:spacing w:after="0" w:line="240" w:lineRule="auto"/>
      </w:pPr>
      <w:r>
        <w:separator/>
      </w:r>
    </w:p>
  </w:endnote>
  <w:endnote w:type="continuationSeparator" w:id="0">
    <w:p w:rsidR="00334D1A" w:rsidRDefault="00334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charset w:val="00"/>
    <w:family w:val="auto"/>
    <w:pitch w:val="default"/>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D1A" w:rsidRDefault="00334D1A">
      <w:pPr>
        <w:spacing w:after="0" w:line="240" w:lineRule="auto"/>
      </w:pPr>
      <w:r>
        <w:separator/>
      </w:r>
    </w:p>
  </w:footnote>
  <w:footnote w:type="continuationSeparator" w:id="0">
    <w:p w:rsidR="00334D1A" w:rsidRDefault="00334D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64BEC"/>
    <w:multiLevelType w:val="hybridMultilevel"/>
    <w:tmpl w:val="AB42B386"/>
    <w:lvl w:ilvl="0" w:tplc="CEC05A2C">
      <w:start w:val="5"/>
      <w:numFmt w:val="decimal"/>
      <w:lvlText w:val="%1."/>
      <w:lvlJc w:val="left"/>
      <w:pPr>
        <w:tabs>
          <w:tab w:val="num" w:pos="720"/>
        </w:tabs>
        <w:ind w:left="720" w:hanging="360"/>
      </w:pPr>
    </w:lvl>
    <w:lvl w:ilvl="1" w:tplc="B1F6A190">
      <w:start w:val="1"/>
      <w:numFmt w:val="decimal"/>
      <w:lvlText w:val="%2."/>
      <w:lvlJc w:val="left"/>
      <w:pPr>
        <w:tabs>
          <w:tab w:val="num" w:pos="1440"/>
        </w:tabs>
        <w:ind w:left="1440" w:hanging="360"/>
      </w:pPr>
    </w:lvl>
    <w:lvl w:ilvl="2" w:tplc="A8CAF122">
      <w:start w:val="1"/>
      <w:numFmt w:val="decimal"/>
      <w:lvlText w:val="%3."/>
      <w:lvlJc w:val="left"/>
      <w:pPr>
        <w:tabs>
          <w:tab w:val="num" w:pos="2160"/>
        </w:tabs>
        <w:ind w:left="2160" w:hanging="360"/>
      </w:pPr>
    </w:lvl>
    <w:lvl w:ilvl="3" w:tplc="25882386">
      <w:start w:val="1"/>
      <w:numFmt w:val="decimal"/>
      <w:lvlText w:val="%4."/>
      <w:lvlJc w:val="left"/>
      <w:pPr>
        <w:tabs>
          <w:tab w:val="num" w:pos="2880"/>
        </w:tabs>
        <w:ind w:left="2880" w:hanging="360"/>
      </w:pPr>
    </w:lvl>
    <w:lvl w:ilvl="4" w:tplc="27903092">
      <w:start w:val="1"/>
      <w:numFmt w:val="decimal"/>
      <w:lvlText w:val="%5."/>
      <w:lvlJc w:val="left"/>
      <w:pPr>
        <w:tabs>
          <w:tab w:val="num" w:pos="3600"/>
        </w:tabs>
        <w:ind w:left="3600" w:hanging="360"/>
      </w:pPr>
    </w:lvl>
    <w:lvl w:ilvl="5" w:tplc="AD04E3F2">
      <w:start w:val="1"/>
      <w:numFmt w:val="decimal"/>
      <w:lvlText w:val="%6."/>
      <w:lvlJc w:val="left"/>
      <w:pPr>
        <w:tabs>
          <w:tab w:val="num" w:pos="4320"/>
        </w:tabs>
        <w:ind w:left="4320" w:hanging="360"/>
      </w:pPr>
    </w:lvl>
    <w:lvl w:ilvl="6" w:tplc="661E0CD0">
      <w:start w:val="1"/>
      <w:numFmt w:val="decimal"/>
      <w:lvlText w:val="%7."/>
      <w:lvlJc w:val="left"/>
      <w:pPr>
        <w:tabs>
          <w:tab w:val="num" w:pos="5040"/>
        </w:tabs>
        <w:ind w:left="5040" w:hanging="360"/>
      </w:pPr>
    </w:lvl>
    <w:lvl w:ilvl="7" w:tplc="EE4EE7A8">
      <w:start w:val="1"/>
      <w:numFmt w:val="decimal"/>
      <w:lvlText w:val="%8."/>
      <w:lvlJc w:val="left"/>
      <w:pPr>
        <w:tabs>
          <w:tab w:val="num" w:pos="5760"/>
        </w:tabs>
        <w:ind w:left="5760" w:hanging="360"/>
      </w:pPr>
    </w:lvl>
    <w:lvl w:ilvl="8" w:tplc="C5BE87EC">
      <w:start w:val="1"/>
      <w:numFmt w:val="decimal"/>
      <w:lvlText w:val="%9."/>
      <w:lvlJc w:val="left"/>
      <w:pPr>
        <w:tabs>
          <w:tab w:val="num" w:pos="6480"/>
        </w:tabs>
        <w:ind w:left="6480" w:hanging="360"/>
      </w:pPr>
    </w:lvl>
  </w:abstractNum>
  <w:abstractNum w:abstractNumId="1" w15:restartNumberingAfterBreak="0">
    <w:nsid w:val="18C32A92"/>
    <w:multiLevelType w:val="hybridMultilevel"/>
    <w:tmpl w:val="CB364F4A"/>
    <w:lvl w:ilvl="0" w:tplc="2BD6409E">
      <w:start w:val="1"/>
      <w:numFmt w:val="decimal"/>
      <w:lvlText w:val="%1."/>
      <w:lvlJc w:val="left"/>
      <w:pPr>
        <w:tabs>
          <w:tab w:val="num" w:pos="720"/>
        </w:tabs>
        <w:ind w:left="720" w:hanging="360"/>
      </w:pPr>
    </w:lvl>
    <w:lvl w:ilvl="1" w:tplc="6CE2A0BE">
      <w:start w:val="1"/>
      <w:numFmt w:val="decimal"/>
      <w:lvlText w:val="%2."/>
      <w:lvlJc w:val="left"/>
      <w:pPr>
        <w:tabs>
          <w:tab w:val="num" w:pos="1440"/>
        </w:tabs>
        <w:ind w:left="1440" w:hanging="360"/>
      </w:pPr>
    </w:lvl>
    <w:lvl w:ilvl="2" w:tplc="01266790">
      <w:start w:val="1"/>
      <w:numFmt w:val="decimal"/>
      <w:lvlText w:val="%3."/>
      <w:lvlJc w:val="left"/>
      <w:pPr>
        <w:tabs>
          <w:tab w:val="num" w:pos="2160"/>
        </w:tabs>
        <w:ind w:left="2160" w:hanging="360"/>
      </w:pPr>
    </w:lvl>
    <w:lvl w:ilvl="3" w:tplc="8E6A02A6">
      <w:start w:val="1"/>
      <w:numFmt w:val="decimal"/>
      <w:lvlText w:val="%4."/>
      <w:lvlJc w:val="left"/>
      <w:pPr>
        <w:tabs>
          <w:tab w:val="num" w:pos="2880"/>
        </w:tabs>
        <w:ind w:left="2880" w:hanging="360"/>
      </w:pPr>
    </w:lvl>
    <w:lvl w:ilvl="4" w:tplc="11E4C162">
      <w:start w:val="1"/>
      <w:numFmt w:val="decimal"/>
      <w:lvlText w:val="%5."/>
      <w:lvlJc w:val="left"/>
      <w:pPr>
        <w:tabs>
          <w:tab w:val="num" w:pos="3600"/>
        </w:tabs>
        <w:ind w:left="3600" w:hanging="360"/>
      </w:pPr>
    </w:lvl>
    <w:lvl w:ilvl="5" w:tplc="524ED3DE">
      <w:start w:val="1"/>
      <w:numFmt w:val="decimal"/>
      <w:lvlText w:val="%6."/>
      <w:lvlJc w:val="left"/>
      <w:pPr>
        <w:tabs>
          <w:tab w:val="num" w:pos="4320"/>
        </w:tabs>
        <w:ind w:left="4320" w:hanging="360"/>
      </w:pPr>
    </w:lvl>
    <w:lvl w:ilvl="6" w:tplc="9B7C5C2A">
      <w:start w:val="1"/>
      <w:numFmt w:val="decimal"/>
      <w:lvlText w:val="%7."/>
      <w:lvlJc w:val="left"/>
      <w:pPr>
        <w:tabs>
          <w:tab w:val="num" w:pos="5040"/>
        </w:tabs>
        <w:ind w:left="5040" w:hanging="360"/>
      </w:pPr>
    </w:lvl>
    <w:lvl w:ilvl="7" w:tplc="4704EBE8">
      <w:start w:val="1"/>
      <w:numFmt w:val="decimal"/>
      <w:lvlText w:val="%8."/>
      <w:lvlJc w:val="left"/>
      <w:pPr>
        <w:tabs>
          <w:tab w:val="num" w:pos="5760"/>
        </w:tabs>
        <w:ind w:left="5760" w:hanging="360"/>
      </w:pPr>
    </w:lvl>
    <w:lvl w:ilvl="8" w:tplc="CD42E6D6">
      <w:start w:val="1"/>
      <w:numFmt w:val="decimal"/>
      <w:lvlText w:val="%9."/>
      <w:lvlJc w:val="left"/>
      <w:pPr>
        <w:tabs>
          <w:tab w:val="num" w:pos="6480"/>
        </w:tabs>
        <w:ind w:left="6480" w:hanging="360"/>
      </w:pPr>
    </w:lvl>
  </w:abstractNum>
  <w:abstractNum w:abstractNumId="2" w15:restartNumberingAfterBreak="0">
    <w:nsid w:val="2EAD578C"/>
    <w:multiLevelType w:val="hybridMultilevel"/>
    <w:tmpl w:val="BD8A0CEA"/>
    <w:lvl w:ilvl="0" w:tplc="B0F6589A">
      <w:start w:val="6"/>
      <w:numFmt w:val="decimal"/>
      <w:lvlText w:val="%1."/>
      <w:lvlJc w:val="left"/>
      <w:pPr>
        <w:tabs>
          <w:tab w:val="num" w:pos="720"/>
        </w:tabs>
        <w:ind w:left="720" w:hanging="360"/>
      </w:pPr>
    </w:lvl>
    <w:lvl w:ilvl="1" w:tplc="85C8EC8A">
      <w:start w:val="1"/>
      <w:numFmt w:val="decimal"/>
      <w:lvlText w:val="%2."/>
      <w:lvlJc w:val="left"/>
      <w:pPr>
        <w:tabs>
          <w:tab w:val="num" w:pos="1440"/>
        </w:tabs>
        <w:ind w:left="1440" w:hanging="360"/>
      </w:pPr>
    </w:lvl>
    <w:lvl w:ilvl="2" w:tplc="32DC95D4">
      <w:start w:val="1"/>
      <w:numFmt w:val="decimal"/>
      <w:lvlText w:val="%3."/>
      <w:lvlJc w:val="left"/>
      <w:pPr>
        <w:tabs>
          <w:tab w:val="num" w:pos="2160"/>
        </w:tabs>
        <w:ind w:left="2160" w:hanging="360"/>
      </w:pPr>
    </w:lvl>
    <w:lvl w:ilvl="3" w:tplc="4B7A195E">
      <w:start w:val="1"/>
      <w:numFmt w:val="decimal"/>
      <w:lvlText w:val="%4."/>
      <w:lvlJc w:val="left"/>
      <w:pPr>
        <w:tabs>
          <w:tab w:val="num" w:pos="2880"/>
        </w:tabs>
        <w:ind w:left="2880" w:hanging="360"/>
      </w:pPr>
    </w:lvl>
    <w:lvl w:ilvl="4" w:tplc="6F8241F2">
      <w:start w:val="1"/>
      <w:numFmt w:val="decimal"/>
      <w:lvlText w:val="%5."/>
      <w:lvlJc w:val="left"/>
      <w:pPr>
        <w:tabs>
          <w:tab w:val="num" w:pos="3600"/>
        </w:tabs>
        <w:ind w:left="3600" w:hanging="360"/>
      </w:pPr>
    </w:lvl>
    <w:lvl w:ilvl="5" w:tplc="49AA8548">
      <w:start w:val="1"/>
      <w:numFmt w:val="decimal"/>
      <w:lvlText w:val="%6."/>
      <w:lvlJc w:val="left"/>
      <w:pPr>
        <w:tabs>
          <w:tab w:val="num" w:pos="4320"/>
        </w:tabs>
        <w:ind w:left="4320" w:hanging="360"/>
      </w:pPr>
    </w:lvl>
    <w:lvl w:ilvl="6" w:tplc="B510BAA6">
      <w:start w:val="1"/>
      <w:numFmt w:val="decimal"/>
      <w:lvlText w:val="%7."/>
      <w:lvlJc w:val="left"/>
      <w:pPr>
        <w:tabs>
          <w:tab w:val="num" w:pos="5040"/>
        </w:tabs>
        <w:ind w:left="5040" w:hanging="360"/>
      </w:pPr>
    </w:lvl>
    <w:lvl w:ilvl="7" w:tplc="E4EE3B8A">
      <w:start w:val="1"/>
      <w:numFmt w:val="decimal"/>
      <w:lvlText w:val="%8."/>
      <w:lvlJc w:val="left"/>
      <w:pPr>
        <w:tabs>
          <w:tab w:val="num" w:pos="5760"/>
        </w:tabs>
        <w:ind w:left="5760" w:hanging="360"/>
      </w:pPr>
    </w:lvl>
    <w:lvl w:ilvl="8" w:tplc="997C9A94">
      <w:start w:val="1"/>
      <w:numFmt w:val="decimal"/>
      <w:lvlText w:val="%9."/>
      <w:lvlJc w:val="left"/>
      <w:pPr>
        <w:tabs>
          <w:tab w:val="num" w:pos="6480"/>
        </w:tabs>
        <w:ind w:left="6480" w:hanging="360"/>
      </w:pPr>
    </w:lvl>
  </w:abstractNum>
  <w:abstractNum w:abstractNumId="3" w15:restartNumberingAfterBreak="0">
    <w:nsid w:val="3B864411"/>
    <w:multiLevelType w:val="hybridMultilevel"/>
    <w:tmpl w:val="F190B4FE"/>
    <w:lvl w:ilvl="0" w:tplc="0A70B272">
      <w:start w:val="2"/>
      <w:numFmt w:val="decimal"/>
      <w:lvlText w:val="%1."/>
      <w:lvlJc w:val="left"/>
      <w:pPr>
        <w:tabs>
          <w:tab w:val="num" w:pos="720"/>
        </w:tabs>
        <w:ind w:left="720" w:hanging="360"/>
      </w:pPr>
    </w:lvl>
    <w:lvl w:ilvl="1" w:tplc="72581770">
      <w:start w:val="1"/>
      <w:numFmt w:val="decimal"/>
      <w:lvlText w:val="%2."/>
      <w:lvlJc w:val="left"/>
      <w:pPr>
        <w:tabs>
          <w:tab w:val="num" w:pos="1440"/>
        </w:tabs>
        <w:ind w:left="1440" w:hanging="360"/>
      </w:pPr>
    </w:lvl>
    <w:lvl w:ilvl="2" w:tplc="AAA8947A">
      <w:start w:val="1"/>
      <w:numFmt w:val="decimal"/>
      <w:lvlText w:val="%3."/>
      <w:lvlJc w:val="left"/>
      <w:pPr>
        <w:tabs>
          <w:tab w:val="num" w:pos="2160"/>
        </w:tabs>
        <w:ind w:left="2160" w:hanging="360"/>
      </w:pPr>
    </w:lvl>
    <w:lvl w:ilvl="3" w:tplc="9550B320">
      <w:start w:val="1"/>
      <w:numFmt w:val="decimal"/>
      <w:lvlText w:val="%4."/>
      <w:lvlJc w:val="left"/>
      <w:pPr>
        <w:tabs>
          <w:tab w:val="num" w:pos="2880"/>
        </w:tabs>
        <w:ind w:left="2880" w:hanging="360"/>
      </w:pPr>
    </w:lvl>
    <w:lvl w:ilvl="4" w:tplc="6232AE50">
      <w:start w:val="1"/>
      <w:numFmt w:val="decimal"/>
      <w:lvlText w:val="%5."/>
      <w:lvlJc w:val="left"/>
      <w:pPr>
        <w:tabs>
          <w:tab w:val="num" w:pos="3600"/>
        </w:tabs>
        <w:ind w:left="3600" w:hanging="360"/>
      </w:pPr>
    </w:lvl>
    <w:lvl w:ilvl="5" w:tplc="E432EE94">
      <w:start w:val="1"/>
      <w:numFmt w:val="decimal"/>
      <w:lvlText w:val="%6."/>
      <w:lvlJc w:val="left"/>
      <w:pPr>
        <w:tabs>
          <w:tab w:val="num" w:pos="4320"/>
        </w:tabs>
        <w:ind w:left="4320" w:hanging="360"/>
      </w:pPr>
    </w:lvl>
    <w:lvl w:ilvl="6" w:tplc="40705586">
      <w:start w:val="1"/>
      <w:numFmt w:val="decimal"/>
      <w:lvlText w:val="%7."/>
      <w:lvlJc w:val="left"/>
      <w:pPr>
        <w:tabs>
          <w:tab w:val="num" w:pos="5040"/>
        </w:tabs>
        <w:ind w:left="5040" w:hanging="360"/>
      </w:pPr>
    </w:lvl>
    <w:lvl w:ilvl="7" w:tplc="7932073E">
      <w:start w:val="1"/>
      <w:numFmt w:val="decimal"/>
      <w:lvlText w:val="%8."/>
      <w:lvlJc w:val="left"/>
      <w:pPr>
        <w:tabs>
          <w:tab w:val="num" w:pos="5760"/>
        </w:tabs>
        <w:ind w:left="5760" w:hanging="360"/>
      </w:pPr>
    </w:lvl>
    <w:lvl w:ilvl="8" w:tplc="1DBE8196">
      <w:start w:val="1"/>
      <w:numFmt w:val="decimal"/>
      <w:lvlText w:val="%9."/>
      <w:lvlJc w:val="left"/>
      <w:pPr>
        <w:tabs>
          <w:tab w:val="num" w:pos="6480"/>
        </w:tabs>
        <w:ind w:left="6480" w:hanging="360"/>
      </w:pPr>
    </w:lvl>
  </w:abstractNum>
  <w:abstractNum w:abstractNumId="4" w15:restartNumberingAfterBreak="0">
    <w:nsid w:val="4E4A217E"/>
    <w:multiLevelType w:val="multilevel"/>
    <w:tmpl w:val="E8A8374C"/>
    <w:lvl w:ilvl="0">
      <w:start w:val="1"/>
      <w:numFmt w:val="decimal"/>
      <w:lvlText w:val="%1."/>
      <w:lvlJc w:val="left"/>
      <w:pPr>
        <w:ind w:left="360" w:hanging="360"/>
      </w:pPr>
      <w:rPr>
        <w:b/>
        <w:bCs/>
      </w:rPr>
    </w:lvl>
    <w:lvl w:ilvl="1">
      <w:start w:val="1"/>
      <w:numFmt w:val="decimal"/>
      <w:lvlText w:val="%1.%2."/>
      <w:lvlJc w:val="left"/>
      <w:pPr>
        <w:ind w:left="2133"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0933672"/>
    <w:multiLevelType w:val="hybridMultilevel"/>
    <w:tmpl w:val="E26CFFF8"/>
    <w:lvl w:ilvl="0" w:tplc="88BC3B3C">
      <w:start w:val="8"/>
      <w:numFmt w:val="decimal"/>
      <w:lvlText w:val="%1."/>
      <w:lvlJc w:val="left"/>
      <w:pPr>
        <w:tabs>
          <w:tab w:val="num" w:pos="720"/>
        </w:tabs>
        <w:ind w:left="720" w:hanging="360"/>
      </w:pPr>
    </w:lvl>
    <w:lvl w:ilvl="1" w:tplc="FA1C8EB4">
      <w:start w:val="1"/>
      <w:numFmt w:val="decimal"/>
      <w:lvlText w:val="%2."/>
      <w:lvlJc w:val="left"/>
      <w:pPr>
        <w:tabs>
          <w:tab w:val="num" w:pos="1440"/>
        </w:tabs>
        <w:ind w:left="1440" w:hanging="360"/>
      </w:pPr>
    </w:lvl>
    <w:lvl w:ilvl="2" w:tplc="16424EEA">
      <w:start w:val="1"/>
      <w:numFmt w:val="decimal"/>
      <w:lvlText w:val="%3."/>
      <w:lvlJc w:val="left"/>
      <w:pPr>
        <w:tabs>
          <w:tab w:val="num" w:pos="2160"/>
        </w:tabs>
        <w:ind w:left="2160" w:hanging="360"/>
      </w:pPr>
    </w:lvl>
    <w:lvl w:ilvl="3" w:tplc="000C28E6">
      <w:start w:val="1"/>
      <w:numFmt w:val="decimal"/>
      <w:lvlText w:val="%4."/>
      <w:lvlJc w:val="left"/>
      <w:pPr>
        <w:tabs>
          <w:tab w:val="num" w:pos="2880"/>
        </w:tabs>
        <w:ind w:left="2880" w:hanging="360"/>
      </w:pPr>
    </w:lvl>
    <w:lvl w:ilvl="4" w:tplc="6EB0DD30">
      <w:start w:val="1"/>
      <w:numFmt w:val="decimal"/>
      <w:lvlText w:val="%5."/>
      <w:lvlJc w:val="left"/>
      <w:pPr>
        <w:tabs>
          <w:tab w:val="num" w:pos="3600"/>
        </w:tabs>
        <w:ind w:left="3600" w:hanging="360"/>
      </w:pPr>
    </w:lvl>
    <w:lvl w:ilvl="5" w:tplc="3C88A816">
      <w:start w:val="1"/>
      <w:numFmt w:val="decimal"/>
      <w:lvlText w:val="%6."/>
      <w:lvlJc w:val="left"/>
      <w:pPr>
        <w:tabs>
          <w:tab w:val="num" w:pos="4320"/>
        </w:tabs>
        <w:ind w:left="4320" w:hanging="360"/>
      </w:pPr>
    </w:lvl>
    <w:lvl w:ilvl="6" w:tplc="CA26B426">
      <w:start w:val="1"/>
      <w:numFmt w:val="decimal"/>
      <w:lvlText w:val="%7."/>
      <w:lvlJc w:val="left"/>
      <w:pPr>
        <w:tabs>
          <w:tab w:val="num" w:pos="5040"/>
        </w:tabs>
        <w:ind w:left="5040" w:hanging="360"/>
      </w:pPr>
    </w:lvl>
    <w:lvl w:ilvl="7" w:tplc="B83EAE32">
      <w:start w:val="1"/>
      <w:numFmt w:val="decimal"/>
      <w:lvlText w:val="%8."/>
      <w:lvlJc w:val="left"/>
      <w:pPr>
        <w:tabs>
          <w:tab w:val="num" w:pos="5760"/>
        </w:tabs>
        <w:ind w:left="5760" w:hanging="360"/>
      </w:pPr>
    </w:lvl>
    <w:lvl w:ilvl="8" w:tplc="1EE00210">
      <w:start w:val="1"/>
      <w:numFmt w:val="decimal"/>
      <w:lvlText w:val="%9."/>
      <w:lvlJc w:val="left"/>
      <w:pPr>
        <w:tabs>
          <w:tab w:val="num" w:pos="6480"/>
        </w:tabs>
        <w:ind w:left="6480" w:hanging="360"/>
      </w:pPr>
    </w:lvl>
  </w:abstractNum>
  <w:abstractNum w:abstractNumId="6" w15:restartNumberingAfterBreak="0">
    <w:nsid w:val="63A57D20"/>
    <w:multiLevelType w:val="hybridMultilevel"/>
    <w:tmpl w:val="F00A572A"/>
    <w:lvl w:ilvl="0" w:tplc="5E122E02">
      <w:start w:val="4"/>
      <w:numFmt w:val="decimal"/>
      <w:lvlText w:val="%1."/>
      <w:lvlJc w:val="left"/>
      <w:pPr>
        <w:tabs>
          <w:tab w:val="num" w:pos="720"/>
        </w:tabs>
        <w:ind w:left="720" w:hanging="360"/>
      </w:pPr>
    </w:lvl>
    <w:lvl w:ilvl="1" w:tplc="8A30D90A">
      <w:start w:val="1"/>
      <w:numFmt w:val="decimal"/>
      <w:lvlText w:val="%2."/>
      <w:lvlJc w:val="left"/>
      <w:pPr>
        <w:tabs>
          <w:tab w:val="num" w:pos="1440"/>
        </w:tabs>
        <w:ind w:left="1440" w:hanging="360"/>
      </w:pPr>
    </w:lvl>
    <w:lvl w:ilvl="2" w:tplc="025A7210">
      <w:start w:val="1"/>
      <w:numFmt w:val="decimal"/>
      <w:lvlText w:val="%3."/>
      <w:lvlJc w:val="left"/>
      <w:pPr>
        <w:tabs>
          <w:tab w:val="num" w:pos="2160"/>
        </w:tabs>
        <w:ind w:left="2160" w:hanging="360"/>
      </w:pPr>
    </w:lvl>
    <w:lvl w:ilvl="3" w:tplc="41C8EDE8">
      <w:start w:val="1"/>
      <w:numFmt w:val="decimal"/>
      <w:lvlText w:val="%4."/>
      <w:lvlJc w:val="left"/>
      <w:pPr>
        <w:tabs>
          <w:tab w:val="num" w:pos="2880"/>
        </w:tabs>
        <w:ind w:left="2880" w:hanging="360"/>
      </w:pPr>
    </w:lvl>
    <w:lvl w:ilvl="4" w:tplc="96BC5034">
      <w:start w:val="1"/>
      <w:numFmt w:val="decimal"/>
      <w:lvlText w:val="%5."/>
      <w:lvlJc w:val="left"/>
      <w:pPr>
        <w:tabs>
          <w:tab w:val="num" w:pos="3600"/>
        </w:tabs>
        <w:ind w:left="3600" w:hanging="360"/>
      </w:pPr>
    </w:lvl>
    <w:lvl w:ilvl="5" w:tplc="6C30D0FA">
      <w:start w:val="1"/>
      <w:numFmt w:val="decimal"/>
      <w:lvlText w:val="%6."/>
      <w:lvlJc w:val="left"/>
      <w:pPr>
        <w:tabs>
          <w:tab w:val="num" w:pos="4320"/>
        </w:tabs>
        <w:ind w:left="4320" w:hanging="360"/>
      </w:pPr>
    </w:lvl>
    <w:lvl w:ilvl="6" w:tplc="AA088C66">
      <w:start w:val="1"/>
      <w:numFmt w:val="decimal"/>
      <w:lvlText w:val="%7."/>
      <w:lvlJc w:val="left"/>
      <w:pPr>
        <w:tabs>
          <w:tab w:val="num" w:pos="5040"/>
        </w:tabs>
        <w:ind w:left="5040" w:hanging="360"/>
      </w:pPr>
    </w:lvl>
    <w:lvl w:ilvl="7" w:tplc="BE9AB900">
      <w:start w:val="1"/>
      <w:numFmt w:val="decimal"/>
      <w:lvlText w:val="%8."/>
      <w:lvlJc w:val="left"/>
      <w:pPr>
        <w:tabs>
          <w:tab w:val="num" w:pos="5760"/>
        </w:tabs>
        <w:ind w:left="5760" w:hanging="360"/>
      </w:pPr>
    </w:lvl>
    <w:lvl w:ilvl="8" w:tplc="B2A27254">
      <w:start w:val="1"/>
      <w:numFmt w:val="decimal"/>
      <w:lvlText w:val="%9."/>
      <w:lvlJc w:val="left"/>
      <w:pPr>
        <w:tabs>
          <w:tab w:val="num" w:pos="6480"/>
        </w:tabs>
        <w:ind w:left="6480" w:hanging="360"/>
      </w:pPr>
    </w:lvl>
  </w:abstractNum>
  <w:abstractNum w:abstractNumId="7" w15:restartNumberingAfterBreak="0">
    <w:nsid w:val="6C8E5E1D"/>
    <w:multiLevelType w:val="hybridMultilevel"/>
    <w:tmpl w:val="A11882C8"/>
    <w:lvl w:ilvl="0" w:tplc="BEDA548A">
      <w:start w:val="7"/>
      <w:numFmt w:val="decimal"/>
      <w:lvlText w:val="%1."/>
      <w:lvlJc w:val="left"/>
      <w:pPr>
        <w:tabs>
          <w:tab w:val="num" w:pos="720"/>
        </w:tabs>
        <w:ind w:left="720" w:hanging="360"/>
      </w:pPr>
    </w:lvl>
    <w:lvl w:ilvl="1" w:tplc="B01CBA58">
      <w:start w:val="1"/>
      <w:numFmt w:val="decimal"/>
      <w:lvlText w:val="%2."/>
      <w:lvlJc w:val="left"/>
      <w:pPr>
        <w:tabs>
          <w:tab w:val="num" w:pos="1440"/>
        </w:tabs>
        <w:ind w:left="1440" w:hanging="360"/>
      </w:pPr>
    </w:lvl>
    <w:lvl w:ilvl="2" w:tplc="57F247CA">
      <w:start w:val="1"/>
      <w:numFmt w:val="decimal"/>
      <w:lvlText w:val="%3."/>
      <w:lvlJc w:val="left"/>
      <w:pPr>
        <w:tabs>
          <w:tab w:val="num" w:pos="2160"/>
        </w:tabs>
        <w:ind w:left="2160" w:hanging="360"/>
      </w:pPr>
    </w:lvl>
    <w:lvl w:ilvl="3" w:tplc="8452DBB2">
      <w:start w:val="1"/>
      <w:numFmt w:val="decimal"/>
      <w:lvlText w:val="%4."/>
      <w:lvlJc w:val="left"/>
      <w:pPr>
        <w:tabs>
          <w:tab w:val="num" w:pos="2880"/>
        </w:tabs>
        <w:ind w:left="2880" w:hanging="360"/>
      </w:pPr>
    </w:lvl>
    <w:lvl w:ilvl="4" w:tplc="E6BA2E4A">
      <w:start w:val="1"/>
      <w:numFmt w:val="decimal"/>
      <w:lvlText w:val="%5."/>
      <w:lvlJc w:val="left"/>
      <w:pPr>
        <w:tabs>
          <w:tab w:val="num" w:pos="3600"/>
        </w:tabs>
        <w:ind w:left="3600" w:hanging="360"/>
      </w:pPr>
    </w:lvl>
    <w:lvl w:ilvl="5" w:tplc="45A64FF4">
      <w:start w:val="1"/>
      <w:numFmt w:val="decimal"/>
      <w:lvlText w:val="%6."/>
      <w:lvlJc w:val="left"/>
      <w:pPr>
        <w:tabs>
          <w:tab w:val="num" w:pos="4320"/>
        </w:tabs>
        <w:ind w:left="4320" w:hanging="360"/>
      </w:pPr>
    </w:lvl>
    <w:lvl w:ilvl="6" w:tplc="C8F6F812">
      <w:start w:val="1"/>
      <w:numFmt w:val="decimal"/>
      <w:lvlText w:val="%7."/>
      <w:lvlJc w:val="left"/>
      <w:pPr>
        <w:tabs>
          <w:tab w:val="num" w:pos="5040"/>
        </w:tabs>
        <w:ind w:left="5040" w:hanging="360"/>
      </w:pPr>
    </w:lvl>
    <w:lvl w:ilvl="7" w:tplc="7FC2AB72">
      <w:start w:val="1"/>
      <w:numFmt w:val="decimal"/>
      <w:lvlText w:val="%8."/>
      <w:lvlJc w:val="left"/>
      <w:pPr>
        <w:tabs>
          <w:tab w:val="num" w:pos="5760"/>
        </w:tabs>
        <w:ind w:left="5760" w:hanging="360"/>
      </w:pPr>
    </w:lvl>
    <w:lvl w:ilvl="8" w:tplc="CAE8DD78">
      <w:start w:val="1"/>
      <w:numFmt w:val="decimal"/>
      <w:lvlText w:val="%9."/>
      <w:lvlJc w:val="left"/>
      <w:pPr>
        <w:tabs>
          <w:tab w:val="num" w:pos="6480"/>
        </w:tabs>
        <w:ind w:left="6480" w:hanging="360"/>
      </w:pPr>
    </w:lvl>
  </w:abstractNum>
  <w:abstractNum w:abstractNumId="8" w15:restartNumberingAfterBreak="0">
    <w:nsid w:val="6D6F1C85"/>
    <w:multiLevelType w:val="hybridMultilevel"/>
    <w:tmpl w:val="BD981D52"/>
    <w:lvl w:ilvl="0" w:tplc="57DE6A2C">
      <w:start w:val="3"/>
      <w:numFmt w:val="decimal"/>
      <w:lvlText w:val="%1."/>
      <w:lvlJc w:val="left"/>
      <w:pPr>
        <w:tabs>
          <w:tab w:val="num" w:pos="720"/>
        </w:tabs>
        <w:ind w:left="720" w:hanging="360"/>
      </w:pPr>
    </w:lvl>
    <w:lvl w:ilvl="1" w:tplc="B9B8717C">
      <w:start w:val="1"/>
      <w:numFmt w:val="decimal"/>
      <w:lvlText w:val="%2."/>
      <w:lvlJc w:val="left"/>
      <w:pPr>
        <w:tabs>
          <w:tab w:val="num" w:pos="1440"/>
        </w:tabs>
        <w:ind w:left="1440" w:hanging="360"/>
      </w:pPr>
    </w:lvl>
    <w:lvl w:ilvl="2" w:tplc="3E42D57A">
      <w:start w:val="1"/>
      <w:numFmt w:val="decimal"/>
      <w:lvlText w:val="%3."/>
      <w:lvlJc w:val="left"/>
      <w:pPr>
        <w:tabs>
          <w:tab w:val="num" w:pos="2160"/>
        </w:tabs>
        <w:ind w:left="2160" w:hanging="360"/>
      </w:pPr>
    </w:lvl>
    <w:lvl w:ilvl="3" w:tplc="24AE96FC">
      <w:start w:val="1"/>
      <w:numFmt w:val="decimal"/>
      <w:lvlText w:val="%4."/>
      <w:lvlJc w:val="left"/>
      <w:pPr>
        <w:tabs>
          <w:tab w:val="num" w:pos="2880"/>
        </w:tabs>
        <w:ind w:left="2880" w:hanging="360"/>
      </w:pPr>
    </w:lvl>
    <w:lvl w:ilvl="4" w:tplc="E0828AA6">
      <w:start w:val="1"/>
      <w:numFmt w:val="decimal"/>
      <w:lvlText w:val="%5."/>
      <w:lvlJc w:val="left"/>
      <w:pPr>
        <w:tabs>
          <w:tab w:val="num" w:pos="3600"/>
        </w:tabs>
        <w:ind w:left="3600" w:hanging="360"/>
      </w:pPr>
    </w:lvl>
    <w:lvl w:ilvl="5" w:tplc="9E046CDA">
      <w:start w:val="1"/>
      <w:numFmt w:val="decimal"/>
      <w:lvlText w:val="%6."/>
      <w:lvlJc w:val="left"/>
      <w:pPr>
        <w:tabs>
          <w:tab w:val="num" w:pos="4320"/>
        </w:tabs>
        <w:ind w:left="4320" w:hanging="360"/>
      </w:pPr>
    </w:lvl>
    <w:lvl w:ilvl="6" w:tplc="4950109A">
      <w:start w:val="1"/>
      <w:numFmt w:val="decimal"/>
      <w:lvlText w:val="%7."/>
      <w:lvlJc w:val="left"/>
      <w:pPr>
        <w:tabs>
          <w:tab w:val="num" w:pos="5040"/>
        </w:tabs>
        <w:ind w:left="5040" w:hanging="360"/>
      </w:pPr>
    </w:lvl>
    <w:lvl w:ilvl="7" w:tplc="4948DE1C">
      <w:start w:val="1"/>
      <w:numFmt w:val="decimal"/>
      <w:lvlText w:val="%8."/>
      <w:lvlJc w:val="left"/>
      <w:pPr>
        <w:tabs>
          <w:tab w:val="num" w:pos="5760"/>
        </w:tabs>
        <w:ind w:left="5760" w:hanging="360"/>
      </w:pPr>
    </w:lvl>
    <w:lvl w:ilvl="8" w:tplc="6DE2142E">
      <w:start w:val="1"/>
      <w:numFmt w:val="decimal"/>
      <w:lvlText w:val="%9."/>
      <w:lvlJc w:val="left"/>
      <w:pPr>
        <w:tabs>
          <w:tab w:val="num" w:pos="6480"/>
        </w:tabs>
        <w:ind w:left="6480" w:hanging="360"/>
      </w:pPr>
    </w:lvl>
  </w:abstractNum>
  <w:num w:numId="1">
    <w:abstractNumId w:val="1"/>
  </w:num>
  <w:num w:numId="2">
    <w:abstractNumId w:val="3"/>
  </w:num>
  <w:num w:numId="3">
    <w:abstractNumId w:val="8"/>
  </w:num>
  <w:num w:numId="4">
    <w:abstractNumId w:val="6"/>
  </w:num>
  <w:num w:numId="5">
    <w:abstractNumId w:val="0"/>
  </w:num>
  <w:num w:numId="6">
    <w:abstractNumId w:val="2"/>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44A"/>
    <w:rsid w:val="00334D1A"/>
    <w:rsid w:val="005F5F17"/>
    <w:rsid w:val="00A5044A"/>
    <w:rsid w:val="00C40294"/>
    <w:rsid w:val="00CE6B14"/>
    <w:rsid w:val="00D223FD"/>
    <w:rsid w:val="00D44A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059E7"/>
  <w15:docId w15:val="{88167641-CE9E-41DB-8F47-0FE262948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4472C4"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4">
    <w:name w:val="header"/>
    <w:basedOn w:val="a"/>
    <w:link w:val="a5"/>
    <w:uiPriority w:val="99"/>
    <w:unhideWhenUsed/>
    <w:pPr>
      <w:tabs>
        <w:tab w:val="center" w:pos="7143"/>
        <w:tab w:val="right" w:pos="14287"/>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7143"/>
        <w:tab w:val="right" w:pos="14287"/>
      </w:tabs>
      <w:spacing w:after="0" w:line="240" w:lineRule="auto"/>
    </w:pPr>
  </w:style>
  <w:style w:type="character" w:customStyle="1" w:styleId="a7">
    <w:name w:val="Нижний колонтитул Знак"/>
    <w:basedOn w:val="a0"/>
    <w:link w:val="a6"/>
    <w:uiPriority w:val="99"/>
  </w:style>
  <w:style w:type="paragraph" w:styleId="a8">
    <w:name w:val="caption"/>
    <w:basedOn w:val="a"/>
    <w:next w:val="a"/>
    <w:link w:val="a9"/>
    <w:uiPriority w:val="35"/>
    <w:semiHidden/>
    <w:unhideWhenUsed/>
    <w:qFormat/>
    <w:pPr>
      <w:spacing w:line="276" w:lineRule="auto"/>
    </w:pPr>
    <w:rPr>
      <w:b/>
      <w:bCs/>
      <w:color w:val="4472C4" w:themeColor="accent1"/>
      <w:sz w:val="18"/>
      <w:szCs w:val="18"/>
    </w:rPr>
  </w:style>
  <w:style w:type="character" w:customStyle="1" w:styleId="a9">
    <w:name w:val="Название объекта Знак"/>
    <w:basedOn w:val="a0"/>
    <w:link w:val="a8"/>
    <w:uiPriority w:val="35"/>
    <w:rPr>
      <w:b/>
      <w:bCs/>
      <w:color w:val="4472C4" w:themeColor="accent1"/>
      <w:sz w:val="18"/>
      <w:szCs w:val="18"/>
    </w:rPr>
  </w:style>
  <w:style w:type="table" w:styleId="aa">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72727" w:themeColor="text1" w:themeTint="D8"/>
    </w:rPr>
  </w:style>
  <w:style w:type="character" w:customStyle="1" w:styleId="90">
    <w:name w:val="Заголовок 9 Знак"/>
    <w:basedOn w:val="a0"/>
    <w:link w:val="9"/>
    <w:uiPriority w:val="9"/>
    <w:semiHidden/>
    <w:rPr>
      <w:rFonts w:eastAsiaTheme="majorEastAsia" w:cstheme="majorBidi"/>
      <w:color w:val="272727" w:themeColor="text1" w:themeTint="D8"/>
    </w:rPr>
  </w:style>
  <w:style w:type="paragraph" w:styleId="af3">
    <w:name w:val="Title"/>
    <w:basedOn w:val="a"/>
    <w:next w:val="a"/>
    <w:link w:val="af4"/>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af4">
    <w:name w:val="Заголовок Знак"/>
    <w:basedOn w:val="a0"/>
    <w:link w:val="af3"/>
    <w:uiPriority w:val="10"/>
    <w:rPr>
      <w:rFonts w:asciiTheme="majorHAnsi" w:eastAsiaTheme="majorEastAsia" w:hAnsiTheme="majorHAnsi" w:cstheme="majorBidi"/>
      <w:spacing w:val="-10"/>
      <w:sz w:val="56"/>
      <w:szCs w:val="56"/>
    </w:rPr>
  </w:style>
  <w:style w:type="paragraph" w:styleId="af5">
    <w:name w:val="Subtitle"/>
    <w:basedOn w:val="a"/>
    <w:next w:val="a"/>
    <w:link w:val="af6"/>
    <w:uiPriority w:val="11"/>
    <w:qFormat/>
    <w:pPr>
      <w:numPr>
        <w:ilvl w:val="1"/>
      </w:numPr>
    </w:pPr>
    <w:rPr>
      <w:rFonts w:eastAsiaTheme="majorEastAsia" w:cstheme="majorBidi"/>
      <w:color w:val="595959" w:themeColor="text1" w:themeTint="A6"/>
      <w:spacing w:val="15"/>
      <w:sz w:val="28"/>
      <w:szCs w:val="28"/>
    </w:rPr>
  </w:style>
  <w:style w:type="character" w:customStyle="1" w:styleId="af6">
    <w:name w:val="Подзаголовок Знак"/>
    <w:basedOn w:val="a0"/>
    <w:link w:val="af5"/>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f7">
    <w:name w:val="List Paragraph"/>
    <w:basedOn w:val="a"/>
    <w:uiPriority w:val="34"/>
    <w:qFormat/>
    <w:pPr>
      <w:ind w:left="720"/>
      <w:contextualSpacing/>
    </w:pPr>
  </w:style>
  <w:style w:type="character" w:styleId="af8">
    <w:name w:val="Intense Emphasis"/>
    <w:basedOn w:val="a0"/>
    <w:uiPriority w:val="21"/>
    <w:qFormat/>
    <w:rPr>
      <w:i/>
      <w:iCs/>
      <w:color w:val="2F5496" w:themeColor="accent1" w:themeShade="BF"/>
    </w:rPr>
  </w:style>
  <w:style w:type="paragraph" w:styleId="af9">
    <w:name w:val="Intense Quote"/>
    <w:basedOn w:val="a"/>
    <w:next w:val="a"/>
    <w:link w:val="af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a">
    <w:name w:val="Выделенная цитата Знак"/>
    <w:basedOn w:val="a0"/>
    <w:link w:val="af9"/>
    <w:uiPriority w:val="30"/>
    <w:rPr>
      <w:i/>
      <w:iCs/>
      <w:color w:val="2F5496" w:themeColor="accent1" w:themeShade="BF"/>
    </w:rPr>
  </w:style>
  <w:style w:type="character" w:styleId="afb">
    <w:name w:val="Intense Reference"/>
    <w:basedOn w:val="a0"/>
    <w:uiPriority w:val="32"/>
    <w:qFormat/>
    <w:rPr>
      <w:b/>
      <w:bCs/>
      <w:smallCaps/>
      <w:color w:val="2F5496" w:themeColor="accent1" w:themeShade="BF"/>
      <w:spacing w:val="5"/>
    </w:rPr>
  </w:style>
  <w:style w:type="character" w:styleId="afc">
    <w:name w:val="Hyperlink"/>
    <w:basedOn w:val="a0"/>
    <w:uiPriority w:val="99"/>
    <w:unhideWhenUsed/>
    <w:rPr>
      <w:color w:val="0563C1" w:themeColor="hyperlink"/>
      <w:u w:val="single"/>
    </w:rPr>
  </w:style>
  <w:style w:type="character" w:customStyle="1" w:styleId="UnresolvedMention">
    <w:name w:val="Unresolved Mention"/>
    <w:basedOn w:val="a0"/>
    <w:uiPriority w:val="99"/>
    <w:semiHidden/>
    <w:unhideWhenUsed/>
    <w:rPr>
      <w:color w:val="605E5C"/>
      <w:shd w:val="clear" w:color="auto" w:fill="E1DFDD"/>
    </w:rPr>
  </w:style>
  <w:style w:type="character" w:styleId="afd">
    <w:name w:val="FollowedHyperlink"/>
    <w:basedOn w:val="a0"/>
    <w:uiPriority w:val="99"/>
    <w:semiHidden/>
    <w:unhideWhenUsed/>
    <w:rPr>
      <w:color w:val="954F72" w:themeColor="followedHyperlink"/>
      <w:u w:val="single"/>
    </w:rPr>
  </w:style>
  <w:style w:type="paragraph" w:styleId="afe">
    <w:name w:val="Balloon Text"/>
    <w:basedOn w:val="a"/>
    <w:link w:val="aff"/>
    <w:uiPriority w:val="99"/>
    <w:semiHidden/>
    <w:unhideWhenUsed/>
    <w:pPr>
      <w:spacing w:after="0" w:line="240" w:lineRule="auto"/>
    </w:pPr>
    <w:rPr>
      <w:rFonts w:ascii="Segoe UI" w:hAnsi="Segoe UI" w:cs="Segoe UI"/>
      <w:sz w:val="18"/>
      <w:szCs w:val="18"/>
    </w:rPr>
  </w:style>
  <w:style w:type="character" w:customStyle="1" w:styleId="aff">
    <w:name w:val="Текст выноски Знак"/>
    <w:basedOn w:val="a0"/>
    <w:link w:val="afe"/>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lastunov1969@li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3652B-A5E8-4DEA-ABC4-5B1333978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2001</Words>
  <Characters>11407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Enin</dc:creator>
  <cp:keywords/>
  <dc:description/>
  <cp:lastModifiedBy>Мовшина Елена Леонидовна</cp:lastModifiedBy>
  <cp:revision>4</cp:revision>
  <dcterms:created xsi:type="dcterms:W3CDTF">2026-07-06T08:36:00Z</dcterms:created>
  <dcterms:modified xsi:type="dcterms:W3CDTF">2026-07-09T12:26:00Z</dcterms:modified>
</cp:coreProperties>
</file>